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03D5782B" w:rsidR="001F6C94" w:rsidRPr="00037304" w:rsidRDefault="00255C54" w:rsidP="0083778A">
      <w:pPr>
        <w:spacing w:line="360" w:lineRule="auto"/>
        <w:rPr>
          <w:rFonts w:ascii="Roboto" w:hAnsi="Roboto"/>
          <w:kern w:val="0"/>
          <w14:ligatures w14:val="none"/>
        </w:rPr>
      </w:pPr>
      <w:r>
        <w:rPr>
          <w:rFonts w:ascii="Roboto" w:hAnsi="Roboto"/>
        </w:rPr>
        <w:t xml:space="preserve">Amstetten, Austria – </w:t>
      </w:r>
      <w:r w:rsidR="00D562B6">
        <w:rPr>
          <w:rFonts w:ascii="Roboto" w:hAnsi="Roboto"/>
        </w:rPr>
        <w:t>23/04/2025</w:t>
      </w:r>
    </w:p>
    <w:p w14:paraId="007B9991" w14:textId="77777777" w:rsidR="0083778A" w:rsidRPr="00D562B6" w:rsidRDefault="0083778A" w:rsidP="0083778A">
      <w:pPr>
        <w:spacing w:line="360" w:lineRule="auto"/>
        <w:rPr>
          <w:rFonts w:ascii="Roboto" w:hAnsi="Roboto"/>
          <w:kern w:val="0"/>
          <w:lang w:val="en-US"/>
          <w14:ligatures w14:val="none"/>
        </w:rPr>
      </w:pPr>
    </w:p>
    <w:p w14:paraId="25C97D6B" w14:textId="5E52D975" w:rsidR="00255C54" w:rsidRPr="00037304" w:rsidRDefault="00037304" w:rsidP="00037304">
      <w:pPr>
        <w:spacing w:line="360" w:lineRule="auto"/>
        <w:rPr>
          <w:rFonts w:ascii="Roboto" w:hAnsi="Roboto"/>
          <w:b/>
          <w:bCs/>
          <w:kern w:val="0"/>
          <w:sz w:val="28"/>
          <w:szCs w:val="28"/>
          <w14:ligatures w14:val="none"/>
        </w:rPr>
      </w:pPr>
      <w:r>
        <w:rPr>
          <w:rFonts w:ascii="Roboto" w:hAnsi="Roboto"/>
          <w:b/>
          <w:sz w:val="28"/>
        </w:rPr>
        <w:t xml:space="preserve">LiSEC UK &amp; Ireland Ltd da la bienvenida a Brett Bedford como nuevo director general </w:t>
      </w:r>
    </w:p>
    <w:p w14:paraId="139F86C1" w14:textId="6C16043B" w:rsidR="00BF0C62" w:rsidRDefault="00BF0C62" w:rsidP="00BF0C62">
      <w:pPr>
        <w:spacing w:line="360" w:lineRule="auto"/>
        <w:rPr>
          <w:rFonts w:ascii="Roboto" w:hAnsi="Roboto"/>
        </w:rPr>
      </w:pPr>
      <w:r>
        <w:rPr>
          <w:rFonts w:ascii="Roboto" w:hAnsi="Roboto"/>
        </w:rPr>
        <w:t>LiSEC se complace en anunciar que Brett Bedford ha asumido el cargo de nuevo director general de LiSEC UK &amp; Ireland Limited. Compartirá esta responsabilidad con Georg “Bobby” Mair, quien ocupa el cargo de director general desde hace muchos años. La experiencia de Brett Bedford en las áreas de acristalamiento, eléctrica y automatización constituye una base sólida para dirigir LiSEC UK &amp; Ireland, donde actualmente se están fusionando las divisiones de maquinaria y software en una sola unidad orientada al cliente.</w:t>
      </w:r>
    </w:p>
    <w:p w14:paraId="41886EFD" w14:textId="4C6E2B61" w:rsidR="00BF0C62" w:rsidRDefault="00BF0C62" w:rsidP="00522560">
      <w:pPr>
        <w:spacing w:line="360" w:lineRule="auto"/>
        <w:rPr>
          <w:rFonts w:ascii="Roboto" w:hAnsi="Roboto"/>
        </w:rPr>
      </w:pPr>
      <w:r>
        <w:rPr>
          <w:rFonts w:ascii="Roboto" w:hAnsi="Roboto"/>
        </w:rPr>
        <w:t>Este cambio brinda la oportunidad de echar la vista atrás a la larga trayectoria de la filial y poner de relieve las iniciativas actuales y la visión de futuro.</w:t>
      </w:r>
    </w:p>
    <w:p w14:paraId="1F0B7A5D" w14:textId="15C12648" w:rsidR="0088563F" w:rsidRPr="001B7C63" w:rsidRDefault="0088563F" w:rsidP="004F6EE8">
      <w:pPr>
        <w:spacing w:line="360" w:lineRule="auto"/>
        <w:rPr>
          <w:rFonts w:ascii="Roboto" w:hAnsi="Roboto"/>
          <w:b/>
        </w:rPr>
      </w:pPr>
      <w:r>
        <w:rPr>
          <w:rFonts w:ascii="Roboto" w:hAnsi="Roboto"/>
          <w:b/>
        </w:rPr>
        <w:t>50 años en el mercado británico</w:t>
      </w:r>
    </w:p>
    <w:p w14:paraId="036B20F9" w14:textId="3D2E7C56" w:rsidR="00BF0C62" w:rsidRPr="00BF0C62" w:rsidRDefault="00BF0C62" w:rsidP="00BF0C62">
      <w:pPr>
        <w:spacing w:line="360" w:lineRule="auto"/>
        <w:rPr>
          <w:rFonts w:ascii="Roboto" w:hAnsi="Roboto"/>
        </w:rPr>
      </w:pPr>
      <w:bookmarkStart w:id="0" w:name="_Hlk194647974"/>
      <w:r>
        <w:rPr>
          <w:rFonts w:ascii="Roboto" w:hAnsi="Roboto"/>
        </w:rPr>
        <w:t xml:space="preserve">La filial de LiSEC en el Reino Unido e Irlanda ha pasado por varias fases de desarrollo desde su fundación en 1987 como empresa unipersonal de David Clayton dedicada a la venta de máquinas. Tras la continua expansión del negocio por todo el Reino Unido e Irlanda, en 2003 se integró por completo en la marca LiSEC. Algunos de los primeros clientes que depositaron su confianza en LiSEC en aquel entonces siguen desempeñando hoy en día un importante papel pionero en la industria del vidrio. </w:t>
      </w:r>
    </w:p>
    <w:bookmarkEnd w:id="0"/>
    <w:p w14:paraId="1B6DBCFF" w14:textId="18F3EAD2" w:rsidR="00BF0C62" w:rsidRPr="005B1E75" w:rsidRDefault="005B1E75" w:rsidP="00045A36">
      <w:pPr>
        <w:spacing w:line="360" w:lineRule="auto"/>
        <w:rPr>
          <w:rFonts w:ascii="Roboto" w:hAnsi="Roboto"/>
        </w:rPr>
      </w:pPr>
      <w:r>
        <w:rPr>
          <w:rFonts w:ascii="Roboto" w:hAnsi="Roboto"/>
        </w:rPr>
        <w:t xml:space="preserve">El fallecimiento de Peter Lisec en 2009 tuvo profundas repercusiones y provocó una división de las actividades operativas en maquinaria, por un lado, y software, por el otro. No obstante, el cambio de dirección ocurrido en 2017 volvió a centrar la atención en la calidad de las máquinas y en 2024 condujo, finalmente, a la reintegración de la división LiSEC Software UK. Ahora los clientes vuelven a encontrar todo lo que necesitan bajo un mismo techo y se benefician de tiempos de respuesta más rápidos en las solicitudes de asistencia y los presupuestos ofertados. En la actualidad, LiSEC UK &amp; Ireland está llevando a cabo algunos de los proyectos más importantes de su historia en Irlanda, Gales y el resto del Reino Unido. </w:t>
      </w:r>
    </w:p>
    <w:p w14:paraId="53DBE2FD" w14:textId="34FACB49" w:rsidR="0088563F" w:rsidRPr="005B1E75" w:rsidRDefault="005B1E75" w:rsidP="004F6EE8">
      <w:pPr>
        <w:spacing w:line="360" w:lineRule="auto"/>
        <w:rPr>
          <w:rFonts w:ascii="Roboto" w:hAnsi="Roboto"/>
          <w:b/>
        </w:rPr>
      </w:pPr>
      <w:r>
        <w:rPr>
          <w:rFonts w:ascii="Roboto" w:hAnsi="Roboto"/>
          <w:b/>
        </w:rPr>
        <w:t>Un sólido equipo en el corazón de LiSEC Reino Unido e Irlanda</w:t>
      </w:r>
    </w:p>
    <w:p w14:paraId="589FE378" w14:textId="1C87310B" w:rsidR="00492056" w:rsidRDefault="005B1E75" w:rsidP="00492056">
      <w:pPr>
        <w:spacing w:line="360" w:lineRule="auto"/>
        <w:rPr>
          <w:rFonts w:ascii="Roboto" w:hAnsi="Roboto"/>
        </w:rPr>
      </w:pPr>
      <w:r>
        <w:rPr>
          <w:rFonts w:ascii="Roboto" w:hAnsi="Roboto"/>
        </w:rPr>
        <w:lastRenderedPageBreak/>
        <w:t xml:space="preserve">A pesar de los cambios de nombre y estructura, el personal cualificado y comprometido de LiSEC UK &amp; Ireland sigue siendo el mismo. El equipo actual incluye miembros veteranos como Vinny Kirkland (Servicio Técnico), Gerard “Ged” Smith (Ventas de Software), John Foster y Stephanie Cutler (Ventas de Máquinas). Juntos suman casi 100 años en la industria del vidrio plano, lo que constituye un auténtico tesoro de experiencia y conocimientos técnicos para la filial. </w:t>
      </w:r>
    </w:p>
    <w:p w14:paraId="7BB8FCCA" w14:textId="497FF545" w:rsidR="00492056" w:rsidRPr="00492056" w:rsidRDefault="00492056" w:rsidP="00492056">
      <w:pPr>
        <w:spacing w:line="360" w:lineRule="auto"/>
        <w:rPr>
          <w:rFonts w:ascii="Roboto" w:hAnsi="Roboto"/>
        </w:rPr>
      </w:pPr>
      <w:r>
        <w:rPr>
          <w:rFonts w:ascii="Roboto" w:hAnsi="Roboto"/>
        </w:rPr>
        <w:t>Incluyendo a los técnicos de servicio y al Departamento de Asistencia de Software, el equipo está compuesto actualmente por 19 miembros, y tiene previsto crecer aún más durante el próximo año. La última incorporación al equipo es Brett Bedford, el nuevo director general conjunto. Sucede en el cargo a Colin Bickley, que deja la empresa tras casi 30 años de éxitos en LiSEC.</w:t>
      </w:r>
    </w:p>
    <w:p w14:paraId="2EE839FD" w14:textId="77777777" w:rsidR="00492056" w:rsidRPr="00492056" w:rsidRDefault="00492056" w:rsidP="00492056">
      <w:pPr>
        <w:spacing w:line="360" w:lineRule="auto"/>
        <w:rPr>
          <w:rFonts w:ascii="Roboto" w:hAnsi="Roboto"/>
          <w:b/>
        </w:rPr>
      </w:pPr>
      <w:r>
        <w:rPr>
          <w:rFonts w:ascii="Roboto" w:hAnsi="Roboto"/>
          <w:b/>
        </w:rPr>
        <w:t>Iniciativas actuales y planes de futuro</w:t>
      </w:r>
    </w:p>
    <w:p w14:paraId="51E0B37E" w14:textId="3C7779AB" w:rsidR="00492056" w:rsidRDefault="00492056" w:rsidP="001B7C63">
      <w:pPr>
        <w:spacing w:line="360" w:lineRule="auto"/>
        <w:rPr>
          <w:rFonts w:ascii="Roboto" w:hAnsi="Roboto"/>
        </w:rPr>
      </w:pPr>
      <w:r>
        <w:rPr>
          <w:rFonts w:ascii="Roboto" w:hAnsi="Roboto"/>
        </w:rPr>
        <w:t>Actualmente hay varias iniciativas en marcha cuyo fin es mejorar los procesos operativos y la satisfacción del cliente. “Principalmente nos vamos a centrar en la integración de los componentes de la máquina y el software en un solo sistema orientado al cliente”, afirma el Sr. Bedford. “Ya se trate de una oportunidad de venta o de una avería, nuestra meta es ayudar a nuestros clientes de forma rápida y fiable. Actualmente estamos revisando nuestro stock local de repuestos y queremos ampliar nuestro equipo de técnicos para mejorar la velocidad de respuesta y la cobertura en todo el Reino Unido e Irlanda. Nuestro objetivo es simplificar la colaboración con LiSEC y, al mismo tiempo, ser capaces de reaccionar y mantener nuestra fiabilidad”.</w:t>
      </w:r>
    </w:p>
    <w:p w14:paraId="110A33A1" w14:textId="2D351705" w:rsidR="002A5693" w:rsidRPr="002A5693" w:rsidRDefault="002A5693" w:rsidP="002A5693">
      <w:pPr>
        <w:spacing w:line="360" w:lineRule="auto"/>
        <w:rPr>
          <w:rFonts w:ascii="Roboto" w:hAnsi="Roboto"/>
        </w:rPr>
      </w:pPr>
      <w:bookmarkStart w:id="1" w:name="_Hlk194648851"/>
      <w:r>
        <w:rPr>
          <w:rFonts w:ascii="Roboto" w:hAnsi="Roboto"/>
        </w:rPr>
        <w:t>De cara al futuro, LiSEC UK &amp; Ireland aspira a poder ofrecer soporte independientemente del tamaño o de las necesidades de sus clientes. El Sr. Bedford lo explica así: “Estoy deseando pasar más tiempo con nuestros clientes, comprender sus necesidades cambiantes y utilizar estos conocimientos para ayudar a dar forma al próximo capítulo de LiSEC UK”.</w:t>
      </w:r>
    </w:p>
    <w:bookmarkEnd w:id="1"/>
    <w:p w14:paraId="20DA81EE" w14:textId="77777777" w:rsidR="00FE757F" w:rsidRPr="00D562B6" w:rsidRDefault="00FE757F" w:rsidP="00161E24">
      <w:pPr>
        <w:spacing w:line="360" w:lineRule="auto"/>
        <w:rPr>
          <w:rFonts w:ascii="Roboto" w:hAnsi="Roboto"/>
          <w:lang w:val="en-US"/>
        </w:rPr>
      </w:pPr>
    </w:p>
    <w:p w14:paraId="3C33C3BB" w14:textId="49FC67E1" w:rsidR="007E1351" w:rsidRPr="007E1351" w:rsidRDefault="007E1351" w:rsidP="00161E24">
      <w:pPr>
        <w:spacing w:line="360" w:lineRule="auto"/>
        <w:rPr>
          <w:rFonts w:ascii="Roboto" w:hAnsi="Roboto"/>
          <w:b/>
        </w:rPr>
      </w:pPr>
      <w:r>
        <w:br w:type="column"/>
      </w:r>
      <w:r>
        <w:rPr>
          <w:rFonts w:ascii="Roboto" w:hAnsi="Roboto"/>
          <w:b/>
        </w:rPr>
        <w:lastRenderedPageBreak/>
        <w:t xml:space="preserve">Imágenes: </w:t>
      </w:r>
    </w:p>
    <w:p w14:paraId="4F9C4EE7" w14:textId="77777777" w:rsidR="007E1351" w:rsidRDefault="007E1351" w:rsidP="007232E0">
      <w:pPr>
        <w:spacing w:line="360" w:lineRule="auto"/>
        <w:rPr>
          <w:rFonts w:ascii="Roboto" w:hAnsi="Roboto"/>
        </w:rPr>
      </w:pPr>
      <w:r>
        <w:rPr>
          <w:rFonts w:ascii="Roboto" w:hAnsi="Roboto"/>
          <w:noProof/>
        </w:rPr>
        <w:drawing>
          <wp:inline distT="0" distB="0" distL="0" distR="0" wp14:anchorId="4E352D14" wp14:editId="7227BCC5">
            <wp:extent cx="2701785" cy="1800000"/>
            <wp:effectExtent l="0" t="0" r="3810" b="0"/>
            <wp:docPr id="973686403"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2332DCB1" w14:textId="045380BD" w:rsidR="007E1351" w:rsidRDefault="007E1351" w:rsidP="007E1351">
      <w:pPr>
        <w:spacing w:line="360" w:lineRule="auto"/>
        <w:rPr>
          <w:rFonts w:ascii="Roboto" w:hAnsi="Roboto"/>
        </w:rPr>
      </w:pPr>
      <w:r>
        <w:rPr>
          <w:rFonts w:ascii="Roboto" w:hAnsi="Roboto"/>
        </w:rPr>
        <w:t xml:space="preserve">© LiSEC; Stephanie Cutler, Brett Bedford, John Foster, Vinny Kirkland, Gerard Smith </w:t>
      </w:r>
    </w:p>
    <w:p w14:paraId="291F1291" w14:textId="77777777" w:rsidR="007E1351" w:rsidRDefault="007E1351" w:rsidP="007232E0">
      <w:pPr>
        <w:spacing w:line="360" w:lineRule="auto"/>
        <w:rPr>
          <w:rFonts w:ascii="Roboto" w:hAnsi="Roboto"/>
        </w:rPr>
      </w:pPr>
      <w:r>
        <w:rPr>
          <w:rFonts w:ascii="Roboto" w:hAnsi="Roboto"/>
          <w:noProof/>
        </w:rPr>
        <w:drawing>
          <wp:inline distT="0" distB="0" distL="0" distR="0" wp14:anchorId="54C3736E" wp14:editId="5837DD0A">
            <wp:extent cx="2701785" cy="1800000"/>
            <wp:effectExtent l="0" t="0" r="3810" b="0"/>
            <wp:docPr id="97712197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326D58C3" w14:textId="127E7774" w:rsidR="007E1351" w:rsidRDefault="007E1351" w:rsidP="007E1351">
      <w:pPr>
        <w:spacing w:line="360" w:lineRule="auto"/>
        <w:rPr>
          <w:rFonts w:ascii="Roboto" w:hAnsi="Roboto"/>
        </w:rPr>
      </w:pPr>
      <w:r>
        <w:rPr>
          <w:rFonts w:ascii="Roboto" w:hAnsi="Roboto"/>
        </w:rPr>
        <w:t xml:space="preserve">© LiSEC; Stephanie Cutler, John Foster, Vinny Kirkland, Brett Bedford, Gerard Smith </w:t>
      </w:r>
    </w:p>
    <w:p w14:paraId="20206A44" w14:textId="77777777" w:rsidR="007E1351" w:rsidRDefault="007E1351" w:rsidP="007232E0">
      <w:pPr>
        <w:spacing w:line="360" w:lineRule="auto"/>
        <w:rPr>
          <w:rFonts w:ascii="Roboto" w:hAnsi="Roboto"/>
        </w:rPr>
      </w:pPr>
      <w:r>
        <w:rPr>
          <w:rFonts w:ascii="Roboto" w:hAnsi="Roboto"/>
          <w:noProof/>
        </w:rPr>
        <w:drawing>
          <wp:inline distT="0" distB="0" distL="0" distR="0" wp14:anchorId="5917FA7E" wp14:editId="341D0439">
            <wp:extent cx="2701785" cy="1800000"/>
            <wp:effectExtent l="0" t="0" r="3810" b="0"/>
            <wp:docPr id="185614026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4A4FA255" w14:textId="1C7E84A3" w:rsidR="00DE102E" w:rsidRPr="00DE102E" w:rsidRDefault="007E1351" w:rsidP="00DE102E">
      <w:pPr>
        <w:spacing w:line="360" w:lineRule="auto"/>
        <w:rPr>
          <w:rFonts w:ascii="Roboto" w:hAnsi="Roboto"/>
        </w:rPr>
      </w:pPr>
      <w:r>
        <w:rPr>
          <w:rFonts w:ascii="Roboto" w:hAnsi="Roboto"/>
        </w:rPr>
        <w:t xml:space="preserve">© LiSEC; Brett Bedford, Vinny Kirkland, Ruth Jones, Anthony Auger, Patrick Edwards; delante: Mark Palin </w:t>
      </w:r>
    </w:p>
    <w:p w14:paraId="25A60762" w14:textId="6C137583" w:rsidR="007E1351" w:rsidRPr="00DE102E" w:rsidRDefault="007E1351" w:rsidP="00DE102E">
      <w:pPr>
        <w:spacing w:line="360" w:lineRule="auto"/>
        <w:rPr>
          <w:rFonts w:ascii="Roboto" w:hAnsi="Roboto"/>
          <w:lang w:val="en-US"/>
        </w:rPr>
      </w:pPr>
    </w:p>
    <w:p w14:paraId="0F53336C" w14:textId="77777777" w:rsidR="007E1351" w:rsidRDefault="007E1351" w:rsidP="007232E0">
      <w:pPr>
        <w:spacing w:line="360" w:lineRule="auto"/>
        <w:rPr>
          <w:rFonts w:ascii="Roboto" w:hAnsi="Roboto"/>
        </w:rPr>
      </w:pPr>
      <w:r>
        <w:rPr>
          <w:rFonts w:ascii="Roboto" w:hAnsi="Roboto"/>
          <w:noProof/>
        </w:rPr>
        <w:lastRenderedPageBreak/>
        <w:drawing>
          <wp:inline distT="0" distB="0" distL="0" distR="0" wp14:anchorId="1F7E30D2" wp14:editId="2DE1378E">
            <wp:extent cx="2701785" cy="1800000"/>
            <wp:effectExtent l="0" t="0" r="3810" b="0"/>
            <wp:docPr id="72217470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05E86DFC" w14:textId="39B588F2" w:rsidR="007E1351" w:rsidRDefault="007E1351" w:rsidP="007E1351">
      <w:pPr>
        <w:spacing w:line="360" w:lineRule="auto"/>
        <w:rPr>
          <w:rFonts w:ascii="Roboto" w:hAnsi="Roboto"/>
        </w:rPr>
      </w:pPr>
      <w:r>
        <w:rPr>
          <w:rFonts w:ascii="Roboto" w:hAnsi="Roboto"/>
        </w:rPr>
        <w:t xml:space="preserve">© LiSEC; almacén de piezas de repuesto de LiSEC UK &amp; Ireland </w:t>
      </w:r>
    </w:p>
    <w:p w14:paraId="56EFFCF9" w14:textId="77777777" w:rsidR="007E1351" w:rsidRDefault="007E1351" w:rsidP="007232E0">
      <w:pPr>
        <w:spacing w:line="360" w:lineRule="auto"/>
        <w:rPr>
          <w:rFonts w:ascii="Roboto" w:hAnsi="Roboto"/>
        </w:rPr>
      </w:pPr>
      <w:r>
        <w:rPr>
          <w:rFonts w:ascii="Roboto" w:hAnsi="Roboto"/>
          <w:noProof/>
        </w:rPr>
        <w:drawing>
          <wp:inline distT="0" distB="0" distL="0" distR="0" wp14:anchorId="6AE3C298" wp14:editId="27EC435E">
            <wp:extent cx="2697190" cy="1800000"/>
            <wp:effectExtent l="0" t="0" r="8255" b="0"/>
            <wp:docPr id="84177530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4FC8BE63" w14:textId="04571EFE" w:rsidR="007E1351" w:rsidRDefault="007E1351" w:rsidP="007E1351">
      <w:pPr>
        <w:spacing w:line="360" w:lineRule="auto"/>
        <w:rPr>
          <w:rFonts w:ascii="Roboto" w:hAnsi="Roboto"/>
        </w:rPr>
      </w:pPr>
      <w:r>
        <w:rPr>
          <w:rFonts w:ascii="Roboto" w:hAnsi="Roboto"/>
        </w:rPr>
        <w:t xml:space="preserve">© LiSEC; nueva dirección de LiSEC UK &amp; Ireland Ltd; Georg Mair, Brett Bedford </w:t>
      </w:r>
    </w:p>
    <w:p w14:paraId="68186D8C" w14:textId="77777777" w:rsidR="007E1351" w:rsidRDefault="007E1351" w:rsidP="007232E0">
      <w:pPr>
        <w:spacing w:line="360" w:lineRule="auto"/>
        <w:rPr>
          <w:rFonts w:ascii="Roboto" w:hAnsi="Roboto"/>
        </w:rPr>
      </w:pPr>
      <w:r>
        <w:rPr>
          <w:rFonts w:ascii="Roboto" w:hAnsi="Roboto"/>
          <w:noProof/>
        </w:rPr>
        <w:drawing>
          <wp:inline distT="0" distB="0" distL="0" distR="0" wp14:anchorId="70C44799" wp14:editId="61AC3EA6">
            <wp:extent cx="2697190" cy="1800000"/>
            <wp:effectExtent l="0" t="0" r="8255" b="0"/>
            <wp:docPr id="1113609917"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69E3E71D" w14:textId="77777777" w:rsidR="007E1351" w:rsidRDefault="007E1351" w:rsidP="007E1351">
      <w:pPr>
        <w:spacing w:line="360" w:lineRule="auto"/>
        <w:rPr>
          <w:rFonts w:ascii="Roboto" w:hAnsi="Roboto"/>
        </w:rPr>
      </w:pPr>
      <w:r>
        <w:rPr>
          <w:rFonts w:ascii="Roboto" w:hAnsi="Roboto"/>
        </w:rPr>
        <w:t xml:space="preserve">© LiSEC; nueva dirección de LiSEC UK &amp; Ireland Ltd; Georg Mair, Brett Bedford </w:t>
      </w:r>
    </w:p>
    <w:p w14:paraId="32E72E31" w14:textId="77777777" w:rsidR="007E1351" w:rsidRDefault="007E1351" w:rsidP="007232E0">
      <w:pPr>
        <w:spacing w:line="360" w:lineRule="auto"/>
        <w:rPr>
          <w:rFonts w:ascii="Roboto" w:hAnsi="Roboto"/>
          <w:lang w:val="en-US"/>
        </w:rPr>
      </w:pPr>
    </w:p>
    <w:p w14:paraId="6C60BDF4" w14:textId="44E38955" w:rsidR="007E1351" w:rsidRDefault="007E1351" w:rsidP="007232E0">
      <w:pPr>
        <w:spacing w:line="360" w:lineRule="auto"/>
        <w:rPr>
          <w:rFonts w:ascii="Roboto" w:hAnsi="Roboto"/>
        </w:rPr>
      </w:pPr>
      <w:r>
        <w:rPr>
          <w:rFonts w:ascii="Roboto" w:hAnsi="Roboto"/>
          <w:noProof/>
        </w:rPr>
        <w:lastRenderedPageBreak/>
        <w:drawing>
          <wp:inline distT="0" distB="0" distL="0" distR="0" wp14:anchorId="0F2A6207" wp14:editId="48683B00">
            <wp:extent cx="2697190" cy="1800000"/>
            <wp:effectExtent l="0" t="0" r="8255" b="0"/>
            <wp:docPr id="537098399"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438FA392" w14:textId="77777777" w:rsidR="007E1351" w:rsidRDefault="007E1351" w:rsidP="007E1351">
      <w:pPr>
        <w:spacing w:line="360" w:lineRule="auto"/>
        <w:rPr>
          <w:rFonts w:ascii="Roboto" w:hAnsi="Roboto"/>
        </w:rPr>
      </w:pPr>
      <w:r>
        <w:rPr>
          <w:rFonts w:ascii="Roboto" w:hAnsi="Roboto"/>
        </w:rPr>
        <w:t xml:space="preserve">© LiSEC; nueva dirección de LiSEC UK &amp; Ireland Ltd; Georg Mair, Brett Bedford </w:t>
      </w:r>
    </w:p>
    <w:p w14:paraId="5A7CAE49" w14:textId="77777777" w:rsidR="007E1351" w:rsidRPr="007232E0" w:rsidRDefault="007E1351" w:rsidP="007232E0">
      <w:pPr>
        <w:spacing w:line="360" w:lineRule="auto"/>
        <w:rPr>
          <w:rFonts w:ascii="Roboto" w:hAnsi="Roboto"/>
          <w:lang w:val="en-US"/>
        </w:rPr>
      </w:pPr>
    </w:p>
    <w:p w14:paraId="18A842DF" w14:textId="77777777" w:rsidR="00037304" w:rsidRPr="003C3EC7" w:rsidRDefault="00037304" w:rsidP="00037304">
      <w:pPr>
        <w:widowControl w:val="0"/>
        <w:spacing w:after="0" w:line="240" w:lineRule="auto"/>
        <w:jc w:val="both"/>
        <w:rPr>
          <w:rFonts w:ascii="Roboto" w:hAnsi="Roboto" w:cs="Arial"/>
          <w:b/>
          <w:sz w:val="20"/>
          <w:szCs w:val="20"/>
        </w:rPr>
      </w:pPr>
      <w:r>
        <w:rPr>
          <w:rFonts w:ascii="Roboto" w:hAnsi="Roboto"/>
          <w:b/>
          <w:sz w:val="20"/>
        </w:rPr>
        <w:t>Acerca de LiSEC</w:t>
      </w:r>
    </w:p>
    <w:p w14:paraId="0A1A2A79" w14:textId="77777777" w:rsidR="00037304" w:rsidRDefault="00037304" w:rsidP="00037304">
      <w:pPr>
        <w:spacing w:after="0" w:line="240" w:lineRule="auto"/>
        <w:rPr>
          <w:rFonts w:ascii="Roboto" w:hAnsi="Roboto"/>
          <w:sz w:val="20"/>
        </w:rPr>
      </w:pPr>
      <w:r>
        <w:rPr>
          <w:rFonts w:ascii="Roboto" w:hAnsi="Roboto"/>
          <w:sz w:val="20"/>
        </w:rPr>
        <w:t>LiSEC, con sede central en Seitenstetten/Amstetten, es un grupo de empresas con presencia global que desde hace más de 60 años ofrece soluciones individuales y completas en el área del procesamiento y el acabado del vidrio plano. En 2024, el grupo, compuesto por cerca de 1300 </w:t>
      </w:r>
      <w:proofErr w:type="gramStart"/>
      <w:r>
        <w:rPr>
          <w:rFonts w:ascii="Roboto" w:hAnsi="Roboto"/>
          <w:sz w:val="20"/>
        </w:rPr>
        <w:t>empleados y empleadas</w:t>
      </w:r>
      <w:proofErr w:type="gramEnd"/>
      <w:r>
        <w:rPr>
          <w:rFonts w:ascii="Roboto" w:hAnsi="Roboto"/>
          <w:sz w:val="20"/>
        </w:rPr>
        <w:t xml:space="preserve"> en 25 sedes, obtuvo una facturación de ventas de casi 300 millones de euros, con una cuota de exportación de más del 95 %. LiSEC es sinónimo de máquinas e instalaciones de alta calidad, así como de soluciones completas integradas que incluyen software a lo largo de toda la cadena de valor del procesamiento de vidrio plano. La cartera de productos incluye tanto máquinas individuales como líneas de producción completas para el recorte de vidrio, el procesamiento de bordes y superficies de vidrio, la producción de vidrio aislante y laminado, así como la logística interna y externa subyacente. Sus clientes se benefician de trabajar con un proveedor de servicios completos con amplia experiencia en la realización de grandes proyectos y una red mundial de servicios.</w:t>
      </w:r>
    </w:p>
    <w:p w14:paraId="28DC260C" w14:textId="77777777" w:rsidR="00037304" w:rsidRPr="00D562B6"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Más información:</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Directora de Marketing y Comunicación empresarial</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r>
        <w:rPr>
          <w:rFonts w:ascii="Roboto" w:hAnsi="Roboto"/>
          <w:sz w:val="20"/>
        </w:rPr>
        <w:t>LiSEC Austria GmbH</w:t>
      </w:r>
      <w:r>
        <w:rPr>
          <w:rFonts w:ascii="Roboto" w:hAnsi="Roboto"/>
          <w:sz w:val="20"/>
        </w:rPr>
        <w:br/>
        <w:t>Peter-Lisec-Str. 1 – 3353 Seitenstetten, Austria</w:t>
      </w:r>
      <w:r>
        <w:rPr>
          <w:rFonts w:ascii="Roboto" w:hAnsi="Roboto"/>
          <w:sz w:val="20"/>
        </w:rPr>
        <w:br/>
        <w:t>Tel.: +43 7477 405-1115</w:t>
      </w:r>
      <w:r>
        <w:rPr>
          <w:rFonts w:ascii="Roboto" w:hAnsi="Roboto"/>
          <w:sz w:val="20"/>
        </w:rPr>
        <w:br/>
        <w:t>Móvil: +43 660 871 58 03</w:t>
      </w:r>
      <w:r>
        <w:rPr>
          <w:rFonts w:ascii="Roboto" w:hAnsi="Roboto"/>
          <w:sz w:val="20"/>
        </w:rPr>
        <w:br/>
        <w:t xml:space="preserve">Correo electrónico: </w:t>
      </w:r>
      <w:hyperlink r:id="rId15" w:history="1">
        <w:r>
          <w:rPr>
            <w:rStyle w:val="Hyperlink"/>
            <w:rFonts w:ascii="Roboto" w:hAnsi="Roboto"/>
            <w:sz w:val="20"/>
          </w:rPr>
          <w:t>claudia.guschlbauer@lisec.com</w:t>
        </w:r>
      </w:hyperlink>
      <w:r>
        <w:rPr>
          <w:rFonts w:ascii="Roboto" w:hAnsi="Roboto"/>
          <w:sz w:val="20"/>
        </w:rPr>
        <w:t xml:space="preserve"> – </w:t>
      </w:r>
      <w:hyperlink r:id="rId16" w:history="1">
        <w:r>
          <w:rPr>
            <w:rStyle w:val="Hyperlink"/>
            <w:rFonts w:ascii="Roboto" w:hAnsi="Roboto"/>
            <w:sz w:val="20"/>
          </w:rPr>
          <w:t>www.lisec.com</w:t>
        </w:r>
      </w:hyperlink>
    </w:p>
    <w:sectPr w:rsidR="00F82153" w:rsidRPr="00037304">
      <w:head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CD0A4F" w14:textId="77777777" w:rsidR="00542C71" w:rsidRDefault="00542C71" w:rsidP="00255C54">
      <w:pPr>
        <w:spacing w:after="0" w:line="240" w:lineRule="auto"/>
      </w:pPr>
      <w:r>
        <w:separator/>
      </w:r>
    </w:p>
  </w:endnote>
  <w:endnote w:type="continuationSeparator" w:id="0">
    <w:p w14:paraId="643CA4F6" w14:textId="77777777" w:rsidR="00542C71" w:rsidRDefault="00542C71"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F19BD" w14:textId="77777777" w:rsidR="00542C71" w:rsidRDefault="00542C71" w:rsidP="00255C54">
      <w:pPr>
        <w:spacing w:after="0" w:line="240" w:lineRule="auto"/>
      </w:pPr>
      <w:r>
        <w:separator/>
      </w:r>
    </w:p>
  </w:footnote>
  <w:footnote w:type="continuationSeparator" w:id="0">
    <w:p w14:paraId="4594AB9A" w14:textId="77777777" w:rsidR="00542C71" w:rsidRDefault="00542C71"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2"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COMUNICADO DE PRENSA</w:t>
    </w:r>
  </w:p>
  <w:p w14:paraId="446DE97E" w14:textId="77777777" w:rsidR="00255C54" w:rsidRPr="001B34E2" w:rsidRDefault="00255C54" w:rsidP="00255C54">
    <w:pPr>
      <w:pStyle w:val="Kopfzeile"/>
      <w:rPr>
        <w:rFonts w:ascii="Roboto" w:hAnsi="Roboto"/>
        <w:lang w:val="it-IT"/>
      </w:rPr>
    </w:pPr>
  </w:p>
  <w:bookmarkEnd w:id="2"/>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8"/>
  </w:num>
  <w:num w:numId="6" w16cid:durableId="978726631">
    <w:abstractNumId w:val="9"/>
  </w:num>
  <w:num w:numId="7" w16cid:durableId="1023824053">
    <w:abstractNumId w:val="10"/>
  </w:num>
  <w:num w:numId="8" w16cid:durableId="2077386674">
    <w:abstractNumId w:val="7"/>
  </w:num>
  <w:num w:numId="9" w16cid:durableId="73010593">
    <w:abstractNumId w:val="3"/>
  </w:num>
  <w:num w:numId="10" w16cid:durableId="1023093006">
    <w:abstractNumId w:val="1"/>
  </w:num>
  <w:num w:numId="11" w16cid:durableId="18795864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7304"/>
    <w:rsid w:val="00045A36"/>
    <w:rsid w:val="00057D14"/>
    <w:rsid w:val="00074EF9"/>
    <w:rsid w:val="00085C77"/>
    <w:rsid w:val="0009634D"/>
    <w:rsid w:val="000B2645"/>
    <w:rsid w:val="000B52E7"/>
    <w:rsid w:val="000B5769"/>
    <w:rsid w:val="000C4430"/>
    <w:rsid w:val="000D3C3B"/>
    <w:rsid w:val="000E2E23"/>
    <w:rsid w:val="00100AB6"/>
    <w:rsid w:val="0010491D"/>
    <w:rsid w:val="00110437"/>
    <w:rsid w:val="00123B13"/>
    <w:rsid w:val="001358A1"/>
    <w:rsid w:val="00151661"/>
    <w:rsid w:val="00161E24"/>
    <w:rsid w:val="0016713F"/>
    <w:rsid w:val="001719CC"/>
    <w:rsid w:val="001B7C63"/>
    <w:rsid w:val="001C03F4"/>
    <w:rsid w:val="001F3E68"/>
    <w:rsid w:val="001F4659"/>
    <w:rsid w:val="001F6C94"/>
    <w:rsid w:val="00225935"/>
    <w:rsid w:val="00240A13"/>
    <w:rsid w:val="00255C54"/>
    <w:rsid w:val="0025797B"/>
    <w:rsid w:val="00261CB1"/>
    <w:rsid w:val="002662A3"/>
    <w:rsid w:val="00267A3E"/>
    <w:rsid w:val="00277015"/>
    <w:rsid w:val="00281CB7"/>
    <w:rsid w:val="002A1600"/>
    <w:rsid w:val="002A28F6"/>
    <w:rsid w:val="002A5693"/>
    <w:rsid w:val="002B4D2F"/>
    <w:rsid w:val="002B77B5"/>
    <w:rsid w:val="002C033C"/>
    <w:rsid w:val="0032244E"/>
    <w:rsid w:val="00341C73"/>
    <w:rsid w:val="00353418"/>
    <w:rsid w:val="003A0F5B"/>
    <w:rsid w:val="003D7954"/>
    <w:rsid w:val="003F5BE9"/>
    <w:rsid w:val="00400221"/>
    <w:rsid w:val="0041606C"/>
    <w:rsid w:val="00423C98"/>
    <w:rsid w:val="00460F67"/>
    <w:rsid w:val="0046558A"/>
    <w:rsid w:val="00465866"/>
    <w:rsid w:val="00470D17"/>
    <w:rsid w:val="0047278A"/>
    <w:rsid w:val="00487BE2"/>
    <w:rsid w:val="00492056"/>
    <w:rsid w:val="004A3448"/>
    <w:rsid w:val="004F6EE8"/>
    <w:rsid w:val="00522560"/>
    <w:rsid w:val="00535798"/>
    <w:rsid w:val="00535C28"/>
    <w:rsid w:val="00537E19"/>
    <w:rsid w:val="00541C17"/>
    <w:rsid w:val="00542C71"/>
    <w:rsid w:val="005537CD"/>
    <w:rsid w:val="00570F9D"/>
    <w:rsid w:val="005A60CB"/>
    <w:rsid w:val="005B00D0"/>
    <w:rsid w:val="005B1E75"/>
    <w:rsid w:val="005F51F9"/>
    <w:rsid w:val="00616624"/>
    <w:rsid w:val="006313D6"/>
    <w:rsid w:val="00633522"/>
    <w:rsid w:val="00635280"/>
    <w:rsid w:val="00641852"/>
    <w:rsid w:val="00650DC1"/>
    <w:rsid w:val="00682E37"/>
    <w:rsid w:val="00693A48"/>
    <w:rsid w:val="0069793A"/>
    <w:rsid w:val="006D1A3E"/>
    <w:rsid w:val="006E5A9A"/>
    <w:rsid w:val="007232E0"/>
    <w:rsid w:val="00724869"/>
    <w:rsid w:val="00752207"/>
    <w:rsid w:val="00754255"/>
    <w:rsid w:val="007727C3"/>
    <w:rsid w:val="0077331E"/>
    <w:rsid w:val="00781D66"/>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563F"/>
    <w:rsid w:val="00885A34"/>
    <w:rsid w:val="008969AD"/>
    <w:rsid w:val="008A3B44"/>
    <w:rsid w:val="008A41AB"/>
    <w:rsid w:val="008A5CD8"/>
    <w:rsid w:val="008E121B"/>
    <w:rsid w:val="00900AF2"/>
    <w:rsid w:val="009117DD"/>
    <w:rsid w:val="00912D85"/>
    <w:rsid w:val="00915779"/>
    <w:rsid w:val="00915CD0"/>
    <w:rsid w:val="00924226"/>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A23EA"/>
    <w:rsid w:val="00AB3607"/>
    <w:rsid w:val="00AB50BE"/>
    <w:rsid w:val="00AC386F"/>
    <w:rsid w:val="00AC64A1"/>
    <w:rsid w:val="00AD5E6B"/>
    <w:rsid w:val="00AE7678"/>
    <w:rsid w:val="00B64917"/>
    <w:rsid w:val="00B64CA5"/>
    <w:rsid w:val="00B656F1"/>
    <w:rsid w:val="00B77FC4"/>
    <w:rsid w:val="00BB1F4E"/>
    <w:rsid w:val="00BC6795"/>
    <w:rsid w:val="00BD2E68"/>
    <w:rsid w:val="00BD54D8"/>
    <w:rsid w:val="00BF0C62"/>
    <w:rsid w:val="00C02EF2"/>
    <w:rsid w:val="00C244E0"/>
    <w:rsid w:val="00C33896"/>
    <w:rsid w:val="00C402CE"/>
    <w:rsid w:val="00C4673B"/>
    <w:rsid w:val="00C70E6E"/>
    <w:rsid w:val="00C91F46"/>
    <w:rsid w:val="00CB7403"/>
    <w:rsid w:val="00CD49B2"/>
    <w:rsid w:val="00CE23A1"/>
    <w:rsid w:val="00D3059F"/>
    <w:rsid w:val="00D42313"/>
    <w:rsid w:val="00D502D8"/>
    <w:rsid w:val="00D562B6"/>
    <w:rsid w:val="00D6089D"/>
    <w:rsid w:val="00D81922"/>
    <w:rsid w:val="00D87E60"/>
    <w:rsid w:val="00DB4911"/>
    <w:rsid w:val="00DC7A7A"/>
    <w:rsid w:val="00DD3D73"/>
    <w:rsid w:val="00DE102E"/>
    <w:rsid w:val="00DF4296"/>
    <w:rsid w:val="00E02028"/>
    <w:rsid w:val="00E05B29"/>
    <w:rsid w:val="00E15CE7"/>
    <w:rsid w:val="00E362DF"/>
    <w:rsid w:val="00E406E5"/>
    <w:rsid w:val="00E54631"/>
    <w:rsid w:val="00E946E0"/>
    <w:rsid w:val="00EB5D46"/>
    <w:rsid w:val="00EC08C3"/>
    <w:rsid w:val="00ED73D5"/>
    <w:rsid w:val="00EF20BF"/>
    <w:rsid w:val="00F30F31"/>
    <w:rsid w:val="00F30F6B"/>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1351"/>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lisec.com/?utm_source=Press-Release&amp;utm_medium=Word-PDF&amp;utm_campaign=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claudia.guschlbauer@lisec.com"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849</Words>
  <Characters>5349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6186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8</cp:revision>
  <dcterms:created xsi:type="dcterms:W3CDTF">2025-04-16T05:55:00Z</dcterms:created>
  <dcterms:modified xsi:type="dcterms:W3CDTF">2025-04-23T08:01:00Z</dcterms:modified>
</cp:coreProperties>
</file>